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33"/>
          <w:szCs w:val="33"/>
          <w:u w:val="none"/>
          <w:shd w:fill="auto" w:val="clear"/>
          <w:vertAlign w:val="baseline"/>
          <w:rtl w:val="0"/>
        </w:rPr>
        <w:t xml:space="preserve">Progetto: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e0000"/>
          <w:sz w:val="33"/>
          <w:szCs w:val="33"/>
          <w:u w:val="none"/>
          <w:shd w:fill="auto" w:val="clear"/>
          <w:vertAlign w:val="baseline"/>
          <w:rtl w:val="0"/>
        </w:rPr>
        <w:t xml:space="preserve">“UN PONTE PER LA COMUNICAZIONE"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a2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a20000"/>
          <w:sz w:val="30"/>
          <w:szCs w:val="30"/>
          <w:u w:val="none"/>
          <w:shd w:fill="auto" w:val="clear"/>
          <w:vertAlign w:val="baseline"/>
          <w:rtl w:val="0"/>
        </w:rPr>
        <w:t xml:space="preserve">Percorsi di Comunicazione Aumentativa Alternativa (CAA) per una Scuola Inclusiva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88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88600"/>
          <w:sz w:val="24"/>
          <w:szCs w:val="24"/>
          <w:u w:val="none"/>
          <w:shd w:fill="auto" w:val="clear"/>
          <w:vertAlign w:val="baseline"/>
          <w:rtl w:val="0"/>
        </w:rPr>
        <w:t xml:space="preserve">Premessa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La nostra scuola riconosce la comunicazione come un diritto umano fondamentale. Il progetto di CAA nasce per rispondere ai bisogni comunicativi complessi di alcuni studenti, ma si estende a tutta la comunità scolastica come strumento di inclusione universale, facilitando anche l'integrazione di alunni stranieri (NAI) e di studenti con difficoltà di apprendimento.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88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88600"/>
          <w:sz w:val="24"/>
          <w:szCs w:val="24"/>
          <w:u w:val="none"/>
          <w:shd w:fill="auto" w:val="clear"/>
          <w:vertAlign w:val="baseline"/>
          <w:rtl w:val="0"/>
        </w:rPr>
        <w:t xml:space="preserve">Finalità Generali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Il progetto mira a costruire un "ambiente comunicativo" in cui ogni studente possa esprimersi, interagire e partecipare attivamente alla vita scolastica, abbattendo le barriere comunicative e relazionali.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inline distB="101600" distT="0" distL="0" distR="0">
                <wp:extent cx="6129020" cy="93980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86540" y="3738060"/>
                          <a:ext cx="6118920" cy="8388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01600" distT="0" distL="0" distR="0">
                <wp:extent cx="6129020" cy="93980"/>
                <wp:effectExtent b="0" l="0" r="0" t="0"/>
                <wp:docPr id="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9020" cy="939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88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88600"/>
          <w:sz w:val="24"/>
          <w:szCs w:val="24"/>
          <w:u w:val="none"/>
          <w:shd w:fill="auto" w:val="clear"/>
          <w:vertAlign w:val="baseline"/>
          <w:rtl w:val="0"/>
        </w:rPr>
        <w:t xml:space="preserve">Obiettivi Specifici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1. Per l'Alunno con Bisogni Comunicativi Complessi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Sviluppare l'autodeterminazione: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Mettere lo studente in grado di effettuare scelte, esprimere bisogni, sentimenti e opinioni.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Incrementare la partecipazione: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Favorire il coinvolgimento nelle attività didattiche e nei momenti di socializzazione (mensa, gioco, intervallo).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Ridurre il disagio relazionale: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Diminuire i comportamenti problema derivanti dalla frustrazione di non essere compresi.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  <w:rtl w:val="0"/>
        </w:rPr>
        <w:t xml:space="preserve">Per il Gruppo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Promuovere l'educazione alla diversità: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Considerare la pluralità dei linguaggi come una ricchezza e non come un limite.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Facilitare l'apprendimento: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Utilizzare il supporto visivo dei simboli per migliorare la comprensione dei testi e dei contenuti curricolari per tutti gli alunni.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Sviluppare l'empatia: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Implementare modalità di gioco e cooperazione basate su canali comunicativi alternativi.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88600"/>
          <w:sz w:val="24"/>
          <w:szCs w:val="24"/>
          <w:u w:val="none"/>
          <w:shd w:fill="auto" w:val="clear"/>
          <w:vertAlign w:val="baseline"/>
          <w:rtl w:val="0"/>
        </w:rPr>
        <w:t xml:space="preserve">. Per il Personale Docente e 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Acquisire competenze tecniche: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Formare i docenti sulla costruzione di tabelle di comunicazione e sull'uso di software specifici.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Uniformare le strategie: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Creare un linguaggio comune tra insegnanti di classe, di sostegno e assistenti all'autonomia.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88600"/>
          <w:sz w:val="24"/>
          <w:szCs w:val="24"/>
          <w:u w:val="none"/>
          <w:shd w:fill="auto" w:val="clear"/>
          <w:vertAlign w:val="baseline"/>
          <w:rtl w:val="0"/>
        </w:rPr>
        <w:t xml:space="preserve">Per l'Ambiente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Creare una "Scuola Accessibile":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Etichettare gli spazi comuni (aule, laboratori, palestra, uffici) con simboli standardizzati per favorire l'orientamento di tutti.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e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e0000"/>
          <w:sz w:val="32"/>
          <w:szCs w:val="32"/>
          <w:u w:val="none"/>
          <w:shd w:fill="auto" w:val="clear"/>
          <w:vertAlign w:val="baseline"/>
          <w:rtl w:val="0"/>
        </w:rPr>
        <w:t xml:space="preserve">Miti da sfatare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76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70c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70c0"/>
          <w:sz w:val="32"/>
          <w:szCs w:val="32"/>
          <w:u w:val="none"/>
          <w:shd w:fill="auto" w:val="clear"/>
          <w:vertAlign w:val="baseline"/>
          <w:rtl w:val="0"/>
        </w:rPr>
        <w:t xml:space="preserve">"Se usa i simboli, non imparerà mai a parlare."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72c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72c4"/>
          <w:sz w:val="32"/>
          <w:szCs w:val="32"/>
          <w:u w:val="none"/>
          <w:shd w:fill="auto" w:val="clear"/>
          <w:vertAlign w:val="baseline"/>
          <w:rtl w:val="0"/>
        </w:rPr>
        <w:t xml:space="preserve"> La ricerca scientifica dimostra il contrario: la CAA funge da supporto al linguaggio verbale, riduce lo stress e spesso ne facilita la comparsa o il recupero, poiché stimola le aree cerebrali legate al linguaggio.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inline distB="101600" distT="0" distL="0" distR="0">
                <wp:extent cx="41614725" cy="1270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3779280"/>
                          <a:ext cx="10692000" cy="14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01600" distT="0" distL="0" distR="0">
                <wp:extent cx="41614725" cy="12700"/>
                <wp:effectExtent b="0" l="0" r="0" t="0"/>
                <wp:docPr id="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6147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  <w:rtl w:val="0"/>
        </w:rPr>
        <w:t xml:space="preserve">Azioni e Metodologia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Il progetto si articola in diverse fasi operative: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Osservazione e Valutazione: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Analisi delle modalità comunicative spontanee dell'alunno in collaborazione con la famiglia e gli specialisti (ASL/Centri di riabilitazione).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Adattamento dei Materiali: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Traduzione in simboli dei testi scolastici, delle regole di classe e delle canzoni.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Ambiente Comunicativo: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Allestimento di angoli per la comunicazione e utilizzo di strisce visive per la scansione temporale della giornata.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Peer Education: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 Momenti di formazione e gioco per i compagni di classe per imparare a usare i quaderni di comunicazione.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inline distB="101600" distT="0" distL="0" distR="0">
                <wp:extent cx="41614725" cy="12700"/>
                <wp:effectExtent b="0" l="0" r="0" 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0" y="3779280"/>
                          <a:ext cx="10692000" cy="14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01600" distT="0" distL="0" distR="0">
                <wp:extent cx="41614725" cy="12700"/>
                <wp:effectExtent b="0" l="0" r="0" t="0"/>
                <wp:docPr id="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6147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e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e0000"/>
          <w:sz w:val="30"/>
          <w:szCs w:val="30"/>
          <w:u w:val="none"/>
          <w:shd w:fill="auto" w:val="clear"/>
          <w:vertAlign w:val="baseline"/>
          <w:rtl w:val="0"/>
        </w:rPr>
        <w:t xml:space="preserve">       Esempi Pratici di Strumenti in Uso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Ecco come applichiamo concretamente la CAA nelle nostre attività quotidiane:</w:t>
      </w:r>
    </w:p>
    <w:tbl>
      <w:tblPr>
        <w:tblStyle w:val="Table1"/>
        <w:tblW w:w="10788.0" w:type="dxa"/>
        <w:jc w:val="left"/>
        <w:tblInd w:w="-180.0" w:type="dxa"/>
        <w:tblLayout w:type="fixed"/>
        <w:tblLook w:val="0000"/>
      </w:tblPr>
      <w:tblGrid>
        <w:gridCol w:w="2517"/>
        <w:gridCol w:w="4459"/>
        <w:gridCol w:w="3812"/>
        <w:tblGridChange w:id="0">
          <w:tblGrid>
            <w:gridCol w:w="2517"/>
            <w:gridCol w:w="4459"/>
            <w:gridCol w:w="3812"/>
          </w:tblGrid>
        </w:tblGridChange>
      </w:tblGrid>
      <w:tr>
        <w:trPr>
          <w:cantSplit w:val="0"/>
          <w:trHeight w:val="245" w:hRule="atLeast"/>
          <w:tblHeader w:val="1"/>
        </w:trPr>
        <w:tc>
          <w:tcPr>
            <w:shd w:fill="f8fafd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Strumento</w:t>
            </w:r>
          </w:p>
        </w:tc>
        <w:tc>
          <w:tcPr>
            <w:shd w:fill="f8fafd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Descrizione</w:t>
            </w:r>
          </w:p>
        </w:tc>
        <w:tc>
          <w:tcPr>
            <w:shd w:fill="f8fafd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Obiettivo</w:t>
            </w:r>
          </w:p>
        </w:tc>
      </w:tr>
      <w:tr>
        <w:trPr>
          <w:cantSplit w:val="0"/>
          <w:trHeight w:val="882" w:hRule="atLeast"/>
          <w:tblHeader w:val="0"/>
        </w:trPr>
        <w:tc>
          <w:tcPr>
            <w:shd w:fill="f8fafd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Etichettatura degli Ambienti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afd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Applicazione di simboli (es. ARASAAC o WLS) sulle porte e sugli oggetti.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101600" distT="0" distL="0" distR="0">
                      <wp:extent cx="314325" cy="314325"/>
                      <wp:effectExtent b="0" l="0" r="0" t="0"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193900" y="3627900"/>
                                <a:ext cx="304200" cy="304200"/>
                              </a:xfrm>
                              <a:custGeom>
                                <a:rect b="b" l="l" r="r" t="t"/>
                                <a:pathLst>
                                  <a:path extrusionOk="0" h="21600" w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01600" distT="0" distL="0" distR="0">
                      <wp:extent cx="314325" cy="314325"/>
                      <wp:effectExtent b="0" l="0" r="0" t="0"/>
                      <wp:docPr id="3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afd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Aiutare l'orientamento spaziale e l'associazione nome-oggetto.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f8fafd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Striscia della Giornata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afd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Una sequenza visiva delle attività previste (es: Ingresso → Matematica → Mensa).</w:t>
            </w:r>
          </w:p>
        </w:tc>
        <w:tc>
          <w:tcPr>
            <w:shd w:fill="f8fafd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Ridurre l'ansia e dare prevedibilità alla routine scolastica.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f8fafd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Tabella di Comunicazione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afd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Un foglio o un quaderno con simboli che rappresentano azioni, desideri o persone.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afd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Permettere allo studente di fare richieste o commentare un'attività.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f8fafd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Libri su misura (In-book)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afd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Libri di narrativa o testi didattici interamente tradotti in simboli.</w:t>
            </w:r>
          </w:p>
        </w:tc>
        <w:tc>
          <w:tcPr>
            <w:shd w:fill="f8fafd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Favorire l'accesso alla lettura e al piacere del racconto condiviso.</w:t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16"/>
          <w:szCs w:val="16"/>
          <w:u w:val="none"/>
          <w:shd w:fill="auto" w:val="clear"/>
          <w:vertAlign w:val="baseline"/>
          <w:rtl w:val="0"/>
        </w:rPr>
        <w:t xml:space="preserve">TABELLE PER LA COSTRUZIONE DELLE FRASI           SEQUENZE DI AZIONI              PORTACHIAVI del COMPORTA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</w:rPr>
        <w:drawing>
          <wp:inline distB="101600" distT="0" distL="0" distR="0">
            <wp:extent cx="1607820" cy="120142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2014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01600" distT="0" distL="0" distR="0">
            <wp:extent cx="1157605" cy="1649095"/>
            <wp:effectExtent b="0" l="0" r="0" t="0"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1649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01600" distT="0" distL="0" distR="0">
            <wp:extent cx="1348740" cy="1348740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13487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16"/>
          <w:szCs w:val="1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16"/>
          <w:szCs w:val="16"/>
          <w:u w:val="none"/>
          <w:shd w:fill="auto" w:val="clear"/>
          <w:vertAlign w:val="baseline"/>
        </w:rPr>
        <w:drawing>
          <wp:inline distB="101600" distT="0" distL="0" distR="0">
            <wp:extent cx="1329055" cy="1353185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13531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  <w:rtl w:val="0"/>
        </w:rPr>
        <w:t xml:space="preserve">   ETICHETTATURA DEI NOSTRI AMBIENTI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</w:rPr>
        <w:drawing>
          <wp:inline distB="101600" distT="0" distL="0" distR="0">
            <wp:extent cx="2103120" cy="2767965"/>
            <wp:effectExtent b="0" l="0" r="0" t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7679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01600" distT="0" distL="0" distR="0">
            <wp:extent cx="1405890" cy="2390140"/>
            <wp:effectExtent b="0" l="0" r="0" t="0"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2390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</w:rPr>
        <w:drawing>
          <wp:inline distB="101600" distT="0" distL="0" distR="0">
            <wp:extent cx="1525270" cy="2411730"/>
            <wp:effectExtent b="0" l="0" r="0" t="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24117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120" w:before="42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ad47"/>
          <w:sz w:val="24"/>
          <w:szCs w:val="24"/>
          <w:u w:val="none"/>
          <w:shd w:fill="auto" w:val="clear"/>
          <w:vertAlign w:val="baseline"/>
          <w:rtl w:val="0"/>
        </w:rPr>
        <w:t xml:space="preserve">        Monitoraggio e Valutazione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L’efficacia del progetto sarà monitorata periodicamente attraverso: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Griglie di osservazione sulla frequenza e l'efficacia delle interazioni.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Questionari di gradimento per le famiglie.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Verifica del raggiungimento degli obiettivi previsti dal PEI (Piano Educativo Individualizzato).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inline distB="101600" distT="0" distL="0" distR="0">
                <wp:extent cx="41614725" cy="12700"/>
                <wp:effectExtent b="0" l="0" r="0" 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0" y="3779280"/>
                          <a:ext cx="10692000" cy="14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01600" distT="0" distL="0" distR="0">
                <wp:extent cx="41614725" cy="12700"/>
                <wp:effectExtent b="0" l="0" r="0" t="0"/>
                <wp:docPr id="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6147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>
        <w:spacing w:after="16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20.0" w:type="dxa"/>
        <w:left w:w="180.0" w:type="dxa"/>
        <w:bottom w:w="120.0" w:type="dxa"/>
        <w:right w:w="18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2.png"/><Relationship Id="rId13" Type="http://schemas.openxmlformats.org/officeDocument/2006/relationships/image" Target="media/image4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7" Type="http://schemas.openxmlformats.org/officeDocument/2006/relationships/image" Target="media/image5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