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7.3449707031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  <w:rtl w:val="0"/>
        </w:rPr>
        <w:t xml:space="preserve">ISTITUTO COMPRENSIVO “PIA PERA”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19177</wp:posOffset>
            </wp:positionV>
            <wp:extent cx="695325" cy="781050"/>
            <wp:effectExtent b="0" l="0" r="0" t="0"/>
            <wp:wrapSquare wrapText="right" distB="19050" distT="19050" distL="19050" distR="1905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8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86572265625" w:line="240" w:lineRule="auto"/>
        <w:ind w:left="0" w:right="526.90673828125" w:firstLine="0"/>
        <w:jc w:val="righ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già I.C. LUCCA 3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138427734375" w:line="240" w:lineRule="auto"/>
        <w:ind w:left="0" w:right="521.019287109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Via Don Minzoni, 244 - S. Anna - 55100 LUCCA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16577148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C.F. 92051740469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22436523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TEL. 0583/584388—581457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9.63134765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luic84600n@pec.istruzione.it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SITO WEB: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www.lucca3.edu.it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3.5400390625" w:line="240" w:lineRule="auto"/>
        <w:ind w:left="3773.979873657226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PROGETTAZIONE FORMATIVA ANNUALE INTEGRATA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- 202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6</w:t>
      </w:r>
      <w:r w:rsidDel="00000000" w:rsidR="00000000" w:rsidRPr="00000000">
        <w:rPr>
          <w:rtl w:val="0"/>
        </w:rPr>
      </w:r>
    </w:p>
    <w:tbl>
      <w:tblPr>
        <w:tblStyle w:val="Table1"/>
        <w:tblW w:w="14853.600616455078" w:type="dxa"/>
        <w:jc w:val="left"/>
        <w:tblInd w:w="14.39994812011718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60.399932861328"/>
        <w:gridCol w:w="3240.5999755859375"/>
        <w:gridCol w:w="7952.6007080078125"/>
        <w:tblGridChange w:id="0">
          <w:tblGrid>
            <w:gridCol w:w="3660.399932861328"/>
            <w:gridCol w:w="3240.5999755859375"/>
            <w:gridCol w:w="7952.60070800781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070404052734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Disciplina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.78405761718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EDUCAZIONE CIVICA</w:t>
            </w:r>
          </w:p>
        </w:tc>
      </w:tr>
      <w:tr>
        <w:trPr>
          <w:cantSplit w:val="0"/>
          <w:trHeight w:val="42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8.720016479492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2.032012939453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Classe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7.9583740234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Sezione</w:t>
            </w:r>
          </w:p>
        </w:tc>
      </w:tr>
      <w:tr>
        <w:trPr>
          <w:cantSplit w:val="0"/>
          <w:trHeight w:val="59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200042724609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Docente Coordinatore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53.599624633789" w:type="dxa"/>
        <w:jc w:val="left"/>
        <w:tblInd w:w="7.200012207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41.399917602539"/>
        <w:gridCol w:w="7712.19970703125"/>
        <w:tblGridChange w:id="0">
          <w:tblGrid>
            <w:gridCol w:w="7141.399917602539"/>
            <w:gridCol w:w="7712.19970703125"/>
          </w:tblGrid>
        </w:tblGridChange>
      </w:tblGrid>
      <w:tr>
        <w:trPr>
          <w:cantSplit w:val="0"/>
          <w:trHeight w:val="27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.313568115234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METODOLOGIE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.3137207031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MATERIALI INTEGRATI</w:t>
            </w:r>
          </w:p>
        </w:tc>
      </w:tr>
      <w:tr>
        <w:trPr>
          <w:cantSplit w:val="0"/>
          <w:trHeight w:val="3055.7192993164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05250549316" w:lineRule="auto"/>
              <w:ind w:left="280.80955505371094" w:right="44.10400390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Didattica Breve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migliorare le capacità logico-espressive; 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Cooperative learning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attraverso gli applicativi di G Suite; 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Flipped Classroom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– per acquisire consapevolezza del proprio percorso  formativo;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9439697265625" w:line="229.2563009262085" w:lineRule="auto"/>
              <w:ind w:left="280.80955505371094" w:right="43.0718994140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Debate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favorire il confronto e lo sviluppo di senso critico; 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Problem solving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sviluppare un approccio creativo all’analisi dei  problemi;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51025390625" w:line="230.88599681854248" w:lineRule="auto"/>
              <w:ind w:left="280.80955505371094" w:right="640.08178710937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Project-based Learning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la creazione di un prodotto specifico; 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Role playing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imparare facendo.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71148681640625" w:line="229.2560577392578" w:lineRule="auto"/>
              <w:ind w:left="280.80955505371094" w:right="217.297363281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Didattica laboratoriale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passare dall’informazione alla formazione. 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Digital Storytelling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creare delle storie con strumenti digitali 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Gamification e game-based learning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per imparare giocando.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2095947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Versione digitale dei libri di testo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2095947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Schede strutturate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2095947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Mappe concettuali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2095947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Presentazioni in Power Point, Canva…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2095947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Filmati da piattaforme streaming (Youtube, ...)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490.819091796875" w:right="251.387939453125" w:hanging="351.609497070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Materiali di studio prodotti dall’insegnante (video e audio lezioni con software  specifici...).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30.88599681854248" w:lineRule="auto"/>
              <w:ind w:left="483.753662109375" w:right="1054.1015625" w:hanging="344.54406738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Materiali audio-video da fonti riconosciute (es. Rai, Giunti, Erickson,  Mondadori, Hub Scuola, ...);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71148681640625" w:line="228.16954135894775" w:lineRule="auto"/>
              <w:ind w:left="139.2095947265625" w:right="1411.2512207031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Documenti contenenti attività da svolgere con scansioni temporali ● Aiuti sintetico-visivi (mappe, immagini, grafici, tabelle, etc.)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4736328125" w:line="240" w:lineRule="auto"/>
              <w:ind w:left="139.2095947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● Condivisione di link riferiti a contenuti multimediali.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7.3449707031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  <w:rtl w:val="0"/>
        </w:rPr>
        <w:t xml:space="preserve">ISTITUTO COMPRENSIVO “PIA PERA”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19177</wp:posOffset>
            </wp:positionV>
            <wp:extent cx="695325" cy="781050"/>
            <wp:effectExtent b="0" l="0" r="0" t="0"/>
            <wp:wrapSquare wrapText="right" distB="19050" distT="19050" distL="19050" distR="1905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8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86572265625" w:line="240" w:lineRule="auto"/>
        <w:ind w:left="0" w:right="526.90673828125" w:firstLine="0"/>
        <w:jc w:val="righ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già I.C. LUCCA 3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138427734375" w:line="240" w:lineRule="auto"/>
        <w:ind w:left="0" w:right="521.019287109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Via Don Minzoni, 244 - S. Anna - 55100 LUCCA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16577148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C.F. 92051740469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22436523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TEL. 0583/584388—581457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9.63134765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luic84600n@pec.istruzione.it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SITO WEB: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www.lucca3.edu.it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3.1396484375" w:line="240" w:lineRule="auto"/>
        <w:ind w:left="118.070373535156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DIDATTICHE PER LA CITTADINANZA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07488346099854" w:lineRule="auto"/>
        <w:ind w:left="114.75837707519531" w:right="391.27685546875" w:firstLine="4.85755920410156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L’insegnamento di Educazione Civica, richiede, per definizione, l’utilizzo di didattiche attive, costruttiviste, laboratoriali, inclusive, digitali, l’integrazione delle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discipline per spiegare la complessità della realtà, ambienti di apprendimento innovativi. La prospettiva deve essere focalizzata sul soggetto che apprende, e perciò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prediligere la costruzione delle conoscenze tramite processi attivi, una tensione creativa tra esperienza, riflessione, pensiero, azione, e l’adattamento degli ambienti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di apprendimento alle specifiche esigenze degli alunni e alle scelte metodologiche/didattiche dei docenti.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7734375" w:line="229.25570011138916" w:lineRule="auto"/>
        <w:ind w:left="827.8752899169922" w:right="390.797119140625" w:hanging="708.259353637695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Legge 92/2019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stabilisce le modalità di attuazione della didattica in riferimento alla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nuova materia di Educazione Civica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: 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Le istituzioni scolastiche prevedono nel curricolo di istituto l'insegnamento trasversale dell'Educazione Civica, specificandone anche, per ciascun anno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di corso, l'orario, che non può essere inferiore a 33 ore annue, da svolgersi nell'ambito del monte orario obbligatorio previsto dagli ordinamenti vigenti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”.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08154296875" w:line="228.89380931854248" w:lineRule="auto"/>
        <w:ind w:left="119.61593627929688" w:right="390.83618164062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Linee Guida del 22 giugno 2020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precisano anche che la trasversalità dell’insegnamento offre un paradigma di riferimento diverso da quello delle discipline.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L’educazione civica, pertanto, supera i canoni di una tradizionale disciplina, assumendo più propriamente la valenza di matrice valoriale trasversale che va coniugata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con le discipline di studio, per evitare superficiali e improduttive aggregazioni di contenuti teorici e per sviluppare processi di interconnessione tra saperi disciplinari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ed extradisciplinari.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3438720703125" w:line="229.25612926483154" w:lineRule="auto"/>
        <w:ind w:left="112.55035400390625" w:right="391.56494140625" w:hanging="2.8704071044921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Nelle scuole del primo ciclo,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l'insegnamento trasversale dell'Educazione Civica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è affidato, in contitolarità, a docenti sulla base del curricolo. Le istituzioni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scolastiche utilizzano le risorse dell'organico dell'autonomia. Per ciascuna classe è individuato, tra i docenti a cui è affidato l'insegnamento dell'Educazione Civica,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un docente con compiti di coordinamento.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61114501953125" w:line="228.16954135894775" w:lineRule="auto"/>
        <w:ind w:left="116.52473449707031" w:right="389.8876953125" w:firstLine="3.091201782226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L'insegnamento trasversale dell'Educazione Civica è oggetto delle valutazioni periodiche e finali previste dal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decreto legislativo 13 aprile 2017, n.62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, e dal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regolamento di cui 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decreto del Presidente della Repubblica 22 giugno 2009, n.122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04736328125" w:line="228.16981315612793" w:lineRule="auto"/>
        <w:ind w:left="123.1488037109375" w:right="394.737548828125" w:hanging="2.428817749023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Il docente coordinatore di cui al comma 5 formula la proposta di voto, acquisendo elementi conoscitivi dai docenti a cui è affidato l'insegnamento dell'Educazione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Civica.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26611328125" w:line="229.7995376586914" w:lineRule="auto"/>
        <w:ind w:left="121.82395935058594" w:right="391.21337890625" w:hanging="9.27360534667968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Nella scuola primaria, a decorrere dall’anno scolastico 2020/2021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(DL 22/2020 modificato con legge 41/2020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c28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la valutazione periodica e finale degli apprendimenti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è espressa, per ciascuna delle discipline di studio previste dalle Indicazioni Nazionali, compreso l’insegnamento trasversale di educazione civica, attraverso un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giudizio descrittivo riportato nel documento di valutazione, nella prospettiva formativa della valutazione e della valorizzazione del miglioramento degli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apprendimenti.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71075439453125" w:line="229.2198657989502" w:lineRule="auto"/>
        <w:ind w:left="123.81118774414062" w:right="390.595703125" w:hanging="1.987228393554687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Tuttavia, “[…]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Le proposte didattiche e le modalità di verifica e valutazione dovrebbero essere coerenti con la progettazione curricolare, evitando di frammentare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la proposta didattica in miriadi di “progetti” talvolta estemporanei e non collegati tra loro e con il curricolo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”. È auspicabile, quindi,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un’integrazione nel curricolo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di Educazione Civica di tutte 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single"/>
          <w:vertAlign w:val="baseline"/>
          <w:rtl w:val="0"/>
        </w:rPr>
        <w:t xml:space="preserve">attività coinvolte nel raggiungimento degli obiettivi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7.3449707031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  <w:rtl w:val="0"/>
        </w:rPr>
        <w:t xml:space="preserve">ISTITUTO COMPRENSIVO “PIA PERA”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19177</wp:posOffset>
            </wp:positionV>
            <wp:extent cx="695325" cy="781050"/>
            <wp:effectExtent b="0" l="0" r="0" t="0"/>
            <wp:wrapSquare wrapText="right" distB="19050" distT="19050" distL="19050" distR="1905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8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86572265625" w:line="240" w:lineRule="auto"/>
        <w:ind w:left="0" w:right="526.90673828125" w:firstLine="0"/>
        <w:jc w:val="righ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già I.C. LUCCA 3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138427734375" w:line="240" w:lineRule="auto"/>
        <w:ind w:left="0" w:right="521.019287109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Via Don Minzoni, 244 - S. Anna - 55100 LUCCA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16577148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C.F. 92051740469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22436523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TEL. 0583/584388—581457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9.63134765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luic84600n@pec.istruzione.it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SITO WEB: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www.lucca3.edu.it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3.1396484375" w:line="228.16949844360352" w:lineRule="auto"/>
        <w:ind w:left="843.6287689208984" w:right="393.692626953125" w:hanging="349.219207763671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Unità didattiche (UD), Unità di apprendimento (UdA) e Unità di Competenza (UdC)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afferenti alla specifica materia di Educazione Civica, ma anche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alle altre previste nel Piano dell’Offerta Formativa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1044921875" w:line="228.16949844360352" w:lineRule="auto"/>
        <w:ind w:left="122.48634338378906" w:right="391.258544921875" w:hanging="5.0783538818359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tenendo conto non solo dei molteplici temi riconducibili al suo insegnamento, ma anche della necessità di mantenere l’attenzione su quelle competenze trasversali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(competenze sociali e civiche, competenza digitale, imparare ad imparare, spirito di iniziativa e imprenditorialità), di cui le stesse Indicazioni Nazionali non offrono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dettagliata declinazione come per quelle cultuali connesse alle discipline.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04736328125" w:line="228.89362335205078" w:lineRule="auto"/>
        <w:ind w:left="114.75837707519531" w:right="391.507568359375" w:firstLine="0.4415893554687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 La stessa normativa prevede inoltre l’attuazione di una serie di Protocolli aggiuntivi che possano coinvolgere tutte le sezioni – classi e tutte le discipline, su un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tema attinente la cittadinanza attiva, la cui attenzione è anche, e particolarmente, focalizzata sulle competenze trasversali, sociali, cognitive e metodologiche, 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precisi riferimenti in termini di risultati di apprendimento, evidenze, percorsi didattici, criteri di valutazione, allo scopo di favorire una consapevole implementazione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nella pratica didattica quotidiana: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Patto scuola-famiglia, Protocolli territoriali, delle Buone Pratiche di Educazione Civica interne dell’Istituto.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4.5440673828125" w:line="229.5457935333252" w:lineRule="auto"/>
        <w:ind w:left="114.75837707519531" w:right="391.27685546875" w:firstLine="4.85755920410156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La valutazione formativa tiene conto della qualità dei processi attivati, della disponibilità ad apprendere, a lavorare in gruppo, dell’autonomia, della partecipazione,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della puntualità, dell’interazione nelle attività, dell’originalità dei contenuti, della responsabilità personale e sociale e del processo di autovalutazione. In tal modo,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la valutazione della dimensione oggettiva delle evidenze empiriche osservabili è integrata, anche attraverso l’uso di opportune rubriche e diari di bordo, da quella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più propriamente formativa in grado di restituire una valutazione complessiva dello studente che apprende. La valutazione degli apprendimenti realizzati con 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DDI segue gli stessi criteri, in particolare, sono distinte 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valutazioni formative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svolte dagli insegnanti in itinere, anche attraverso semplici feedback orali o scritti,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valutazioni sommative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termine di uno o più unità di apprendimento, e 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valutazioni intermedie e finali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realizzate in sede di scrutinio.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.34405517578125" w:line="230.34277439117432" w:lineRule="auto"/>
        <w:ind w:left="121.82395935058594" w:right="391.844482421875" w:hanging="2.8704071044921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Per gli allievi DSA e con Bisogni Educativi Speciali, non certificati l’insegnante fornisce mappe concettuali, versione facilitata dei libri di testo, powerpoint ad alta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leggibilità con semplificazione nei contenuti, schemi e tabelle, appunti personali del docente; i compiti svolti in misura ridotta, le interrogazioni programmate 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gli argomenti da preparare (materiale compensativo).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7.3449707031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  <w:rtl w:val="0"/>
        </w:rPr>
        <w:t xml:space="preserve">ISTITUTO COMPRENSIVO “PIA PERA”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19177</wp:posOffset>
            </wp:positionV>
            <wp:extent cx="695325" cy="781050"/>
            <wp:effectExtent b="0" l="0" r="0" t="0"/>
            <wp:wrapSquare wrapText="right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8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86572265625" w:line="240" w:lineRule="auto"/>
        <w:ind w:left="0" w:right="526.90673828125" w:firstLine="0"/>
        <w:jc w:val="righ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già I.C. LUCCA 3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138427734375" w:line="240" w:lineRule="auto"/>
        <w:ind w:left="0" w:right="521.019287109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Via Don Minzoni, 244 - S. Anna - 55100 LUCCA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16577148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C.F. 92051740469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22436523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TEL. 0583/584388—581457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9.63134765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luic84600n@pec.istruzione.it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SITO WEB: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www.lucca3.edu.it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5.53955078125" w:line="240" w:lineRule="auto"/>
        <w:ind w:left="2881.1487579345703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Tavola di sintesi delle unità di competenza da svolgere nel corrente anno scolastico 2024 -2025</w:t>
      </w:r>
    </w:p>
    <w:tbl>
      <w:tblPr>
        <w:tblStyle w:val="Table3"/>
        <w:tblW w:w="14404.79988098144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5.199966430664"/>
        <w:gridCol w:w="5938.600158691406"/>
        <w:gridCol w:w="5940.999755859375"/>
        <w:tblGridChange w:id="0">
          <w:tblGrid>
            <w:gridCol w:w="2525.199966430664"/>
            <w:gridCol w:w="5938.600158691406"/>
            <w:gridCol w:w="5940.999755859375"/>
          </w:tblGrid>
        </w:tblGridChange>
      </w:tblGrid>
      <w:tr>
        <w:trPr>
          <w:cantSplit w:val="0"/>
          <w:trHeight w:val="430.2001953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Progettazione didattica annuale: indice delle unità di apprendimento interdisciplinari (prove di competenza)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Unità di competenza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TEMATICHE</w:t>
            </w:r>
          </w:p>
        </w:tc>
      </w:tr>
      <w:tr>
        <w:trPr>
          <w:cantSplit w:val="0"/>
          <w:trHeight w:val="427.20031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783966064453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U.C. n.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3137207031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COSTITUZIONE</w:t>
            </w:r>
          </w:p>
        </w:tc>
      </w:tr>
      <w:tr>
        <w:trPr>
          <w:cantSplit w:val="0"/>
          <w:trHeight w:val="42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783966064453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U.C. n.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809082031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SVILUPPO ECONOMICO E SOSTENIBILITA’</w:t>
            </w:r>
          </w:p>
        </w:tc>
      </w:tr>
      <w:tr>
        <w:trPr>
          <w:cantSplit w:val="0"/>
          <w:trHeight w:val="42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783966064453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U.C. n. 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3137207031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CITTADINANZA DIGITALE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04.79988098144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5.199966430664"/>
        <w:gridCol w:w="5938.600158691406"/>
        <w:gridCol w:w="5940.999755859375"/>
        <w:tblGridChange w:id="0">
          <w:tblGrid>
            <w:gridCol w:w="2525.199966430664"/>
            <w:gridCol w:w="5938.600158691406"/>
            <w:gridCol w:w="5940.999755859375"/>
          </w:tblGrid>
        </w:tblGridChange>
      </w:tblGrid>
      <w:tr>
        <w:trPr>
          <w:cantSplit w:val="0"/>
          <w:trHeight w:val="847.19970703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Unità di apprendimento_Attività e azioni connesse alla progettazione formativa (disciplinari)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.326660156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 rendicontare a fine anno sulla scheda EDUCAZIONE CIVICA condivisa dal Referente</w:t>
            </w:r>
          </w:p>
        </w:tc>
      </w:tr>
      <w:tr>
        <w:trPr>
          <w:cantSplit w:val="0"/>
          <w:trHeight w:val="427.2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Unità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TEMATICHE</w:t>
            </w:r>
          </w:p>
        </w:tc>
      </w:tr>
      <w:tr>
        <w:trPr>
          <w:cantSplit w:val="0"/>
          <w:trHeight w:val="429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66400146484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A. n.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3137207031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COSTITUZIONE</w:t>
            </w:r>
          </w:p>
        </w:tc>
      </w:tr>
      <w:tr>
        <w:trPr>
          <w:cantSplit w:val="0"/>
          <w:trHeight w:val="427.200622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66400146484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A. n.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809082031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SVILUPPO ECONOMICO E SOSTENIBILITA’</w:t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433.59992980957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40.99983215332"/>
        <w:gridCol w:w="4754.7998046875"/>
        <w:gridCol w:w="4937.80029296875"/>
        <w:tblGridChange w:id="0">
          <w:tblGrid>
            <w:gridCol w:w="4740.99983215332"/>
            <w:gridCol w:w="4754.7998046875"/>
            <w:gridCol w:w="4937.80029296875"/>
          </w:tblGrid>
        </w:tblGridChange>
      </w:tblGrid>
      <w:tr>
        <w:trPr>
          <w:cantSplit w:val="0"/>
          <w:trHeight w:val="429.6006774902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783966064453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Unità di competenza n.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488037109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4941406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Tempi:</w:t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7.3449707031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4.08000183105469"/>
          <w:szCs w:val="34.08000183105469"/>
          <w:u w:val="none"/>
          <w:shd w:fill="auto" w:val="clear"/>
          <w:vertAlign w:val="baseline"/>
          <w:rtl w:val="0"/>
        </w:rPr>
        <w:t xml:space="preserve">ISTITUTO COMPRENSIVO “PIA PERA”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19177</wp:posOffset>
            </wp:positionV>
            <wp:extent cx="695325" cy="78105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8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86572265625" w:line="240" w:lineRule="auto"/>
        <w:ind w:left="0" w:right="526.90673828125" w:firstLine="0"/>
        <w:jc w:val="righ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già I.C. LUCCA 3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138427734375" w:line="240" w:lineRule="auto"/>
        <w:ind w:left="0" w:right="521.019287109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Via Don Minzoni, 244 - S. Anna - 55100 LUCCA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16577148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C.F. 92051740469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1.224365234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TEL. 0583/584388—581457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9.63134765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luic84600n@pec.istruzione.it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SITO WEB: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single"/>
          <w:shd w:fill="auto" w:val="clear"/>
          <w:vertAlign w:val="baseline"/>
          <w:rtl w:val="0"/>
        </w:rPr>
        <w:t xml:space="preserve">www.lucca3.edu.it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6"/>
        <w:tblW w:w="14433.59992980957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95.800247192383"/>
        <w:gridCol w:w="7337.7996826171875"/>
        <w:tblGridChange w:id="0">
          <w:tblGrid>
            <w:gridCol w:w="7095.800247192383"/>
            <w:gridCol w:w="7337.7996826171875"/>
          </w:tblGrid>
        </w:tblGridChange>
      </w:tblGrid>
      <w:tr>
        <w:trPr>
          <w:cantSplit w:val="0"/>
          <w:trHeight w:val="847.8002929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488037109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Traguardi di competenza:</w:t>
            </w:r>
          </w:p>
        </w:tc>
      </w:tr>
      <w:tr>
        <w:trPr>
          <w:cantSplit w:val="0"/>
          <w:trHeight w:val="427.199707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111877441406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Obiettivi di apprendimento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(conoscenze e abilità necessari per il raggiungimento dei traguardi di competenza)</w:t>
            </w:r>
          </w:p>
        </w:tc>
      </w:tr>
      <w:tr>
        <w:trPr>
          <w:cantSplit w:val="0"/>
          <w:trHeight w:val="126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Abilità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.070373535156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Il Docente</w:t>
      </w:r>
    </w:p>
    <w:sectPr>
      <w:pgSz w:h="11900" w:w="16820" w:orient="landscape"/>
      <w:pgMar w:bottom="1498.0799865722656" w:top="998.800048828125" w:left="1017.6000213623047" w:right="952.799072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