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6"/>
        </w:tabs>
        <w:spacing w:after="0" w:before="0" w:line="240" w:lineRule="auto"/>
        <w:ind w:left="0" w:right="35" w:firstLine="1"/>
        <w:jc w:val="left"/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1</w:t>
      </w:r>
      <w:r w:rsidDel="00000000" w:rsidR="00000000" w:rsidRPr="00000000">
        <w:rPr>
          <w:rFonts w:ascii="Garamond" w:cs="Garamond" w:eastAsia="Garamond" w:hAnsi="Garamond"/>
          <w:b w:val="1"/>
          <w:i w:val="1"/>
          <w:sz w:val="24"/>
          <w:szCs w:val="24"/>
          <w:rtl w:val="0"/>
        </w:rPr>
        <w:t xml:space="preserve">2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6"/>
        </w:tabs>
        <w:spacing w:after="0" w:before="0" w:line="240" w:lineRule="auto"/>
        <w:ind w:left="0" w:right="35" w:firstLine="1"/>
        <w:jc w:val="right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6"/>
        </w:tabs>
        <w:spacing w:after="0" w:before="0" w:line="240" w:lineRule="auto"/>
        <w:ind w:left="0" w:right="35" w:firstLine="1"/>
        <w:jc w:val="center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10206"/>
        </w:tabs>
        <w:spacing w:after="12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PIANO NAZIONALE DI RIPRESA E RESILIENZA - MISSIONE 4: ISTRUZIONE E RICERCA Componente 1 – Potenziamento dell’offerta dei servizi di istruzione: dagli asili nido alle Università Investimento 2.1: Didattica digitale integrata e formazione alla transizione digitale del personale scolastico - Formazione del personale scolastico per la transizione digitale (D.M. 66/2023)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10206"/>
        </w:tabs>
        <w:spacing w:after="12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TITOLO PROGETTO: “Il digitale per l'Innovazione didattica e la "leggerezza" organizzativa.”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10206"/>
        </w:tabs>
        <w:spacing w:after="12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Identificativo progetto:    LUIC84600N - M4C1I2.1-2023-1222-P-40978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10206"/>
        </w:tabs>
        <w:spacing w:after="12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CUP: J64D23003530006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10206"/>
        </w:tabs>
        <w:spacing w:after="12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Linea di investimento: M4C1I2.1 - Didattica digitale integrata e formazione sulla transizione digitale del personale scolastico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10206"/>
        </w:tabs>
        <w:spacing w:after="12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Codice avviso: M4C1I2.1-2023-1222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auto" w:val="clear"/>
        <w:tabs>
          <w:tab w:val="left" w:leader="none" w:pos="10206"/>
        </w:tabs>
        <w:spacing w:after="120" w:before="0" w:line="276" w:lineRule="auto"/>
        <w:ind w:left="0" w:right="0" w:firstLine="0"/>
        <w:jc w:val="left"/>
        <w:rPr>
          <w:i w:val="1"/>
        </w:rPr>
      </w:pPr>
      <w:r w:rsidDel="00000000" w:rsidR="00000000" w:rsidRPr="00000000">
        <w:rPr>
          <w:rtl w:val="0"/>
        </w:rPr>
        <w:t xml:space="preserve">DESCRIZIONE AVVISO: Realizzazione di percorsi formativi per il personale scolastico (dirigenti scolastici, direttori dei servizi generali e amministrativi, personale ATA, docenti, personale educativo) sulla transizione digitale nella didattica e nell’organizzazione scolastica, in coerenza con i quadri di riferimento europei per le competenze digitali DigComp 2.2 e DigCompEdu, nel rispetto del target M4C1-13 (formazione di almeno 650.000 dirigenti scolastici, insegnanti e personale ATA entro il 31 dicembre 2024).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6"/>
        </w:tabs>
        <w:spacing w:after="0" w:before="0" w:line="240" w:lineRule="auto"/>
        <w:ind w:left="0" w:right="0" w:hanging="1275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6"/>
        </w:tabs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1"/>
          <w:i w:val="0"/>
          <w:smallCaps w:val="0"/>
          <w:strike w:val="0"/>
          <w:color w:val="1f497d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1f497d"/>
          <w:sz w:val="36"/>
          <w:szCs w:val="36"/>
          <w:u w:val="none"/>
          <w:shd w:fill="auto" w:val="clear"/>
          <w:vertAlign w:val="baseline"/>
          <w:rtl w:val="0"/>
        </w:rPr>
        <w:t xml:space="preserve">CAPITOLATO DI ACQUISTO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6"/>
        </w:tabs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1"/>
          <w:color w:val="1f497d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0206"/>
        </w:tabs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1"/>
          <w:color w:val="222222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Garamond" w:cs="Garamond" w:eastAsia="Garamond" w:hAnsi="Garamond"/>
          <w:b w:val="1"/>
          <w:color w:val="222222"/>
          <w:sz w:val="24"/>
          <w:szCs w:val="24"/>
          <w:rtl w:val="0"/>
        </w:rPr>
        <w:t xml:space="preserve">rogetto - D.M. 66/2023 </w:t>
      </w:r>
    </w:p>
    <w:p w:rsidR="00000000" w:rsidDel="00000000" w:rsidP="00000000" w:rsidRDefault="00000000" w:rsidRPr="00000000" w14:paraId="0000000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0206"/>
        </w:tabs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1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</w:pBdr>
        <w:tabs>
          <w:tab w:val="left" w:leader="none" w:pos="10206"/>
        </w:tabs>
        <w:spacing w:after="120" w:lineRule="auto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“Il digitale per l'Innovazione didattica e la "leggerezza" organizzativa.”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6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1f497d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/>
      </w:pPr>
      <w:r w:rsidDel="00000000" w:rsidR="00000000" w:rsidRPr="00000000">
        <w:rPr>
          <w:color w:val="000000"/>
          <w:rtl w:val="0"/>
        </w:rPr>
        <w:t xml:space="preserve">L’</w:t>
      </w:r>
      <w:r w:rsidDel="00000000" w:rsidR="00000000" w:rsidRPr="00000000">
        <w:rPr>
          <w:rtl w:val="0"/>
        </w:rPr>
        <w:t xml:space="preserve">Importo totale  assegnato per l’intero progetto è di € 51.457,30 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  <w:t xml:space="preserve">L’importo complessivo per la realizzazione del LABORATORIO DI FORMAZIONE SUL CAMPO per Scuola Primaria (S.P.):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i w:val="1"/>
          <w:highlight w:val="white"/>
          <w:rtl w:val="0"/>
        </w:rPr>
        <w:t xml:space="preserve">L’intelligenza numerica e matematica alla scuola primaria: un percorso innovativo </w:t>
      </w:r>
      <w:r w:rsidDel="00000000" w:rsidR="00000000" w:rsidRPr="00000000">
        <w:rPr>
          <w:highlight w:val="white"/>
          <w:rtl w:val="0"/>
        </w:rPr>
        <w:t xml:space="preserve">della </w:t>
      </w:r>
      <w:r w:rsidDel="00000000" w:rsidR="00000000" w:rsidRPr="00000000">
        <w:rPr>
          <w:b w:val="1"/>
          <w:highlight w:val="white"/>
          <w:rtl w:val="0"/>
        </w:rPr>
        <w:t xml:space="preserve">durata di n. 10 ore</w:t>
      </w:r>
      <w:r w:rsidDel="00000000" w:rsidR="00000000" w:rsidRPr="00000000">
        <w:rPr>
          <w:b w:val="1"/>
          <w:rtl w:val="0"/>
        </w:rPr>
        <w:t xml:space="preserve"> è pari a </w:t>
      </w:r>
      <w:r w:rsidDel="00000000" w:rsidR="00000000" w:rsidRPr="00000000">
        <w:rPr>
          <w:b w:val="1"/>
          <w:highlight w:val="white"/>
          <w:rtl w:val="0"/>
        </w:rPr>
        <w:t xml:space="preserve">€ 2184,00 </w:t>
      </w:r>
      <w:r w:rsidDel="00000000" w:rsidR="00000000" w:rsidRPr="00000000">
        <w:rPr>
          <w:b w:val="1"/>
          <w:rtl w:val="0"/>
        </w:rPr>
        <w:t xml:space="preserve">onnicomprensivi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highlight w:val="white"/>
          <w:rtl w:val="0"/>
        </w:rPr>
        <w:t xml:space="preserve">di cui € 1220/00 per Formatore; € 340/00 per Tutor e  € </w:t>
      </w:r>
      <w:r w:rsidDel="00000000" w:rsidR="00000000" w:rsidRPr="00000000">
        <w:rPr>
          <w:highlight w:val="white"/>
          <w:rtl w:val="0"/>
        </w:rPr>
        <w:t xml:space="preserve">624,00</w:t>
      </w:r>
      <w:r w:rsidDel="00000000" w:rsidR="00000000" w:rsidRPr="00000000">
        <w:rPr>
          <w:i w:val="1"/>
          <w:highlight w:val="white"/>
          <w:rtl w:val="0"/>
        </w:rPr>
        <w:t xml:space="preserve"> di Costi indiretti.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Per la realizzazione del laboratorio sono previste n. 10 ore di formazione così strutturate come da proposta sottoscritta e inviata il  28/11/2024 Prot. n. 16936: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N. 3 incontri il sabato mattina  per un totale di 10 ore così suddivise: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lin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sabato 5 aprile 2025 ore 9.00-13.00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lin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sabato 12 aprile 2025 ore 9.00-12.00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lin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sabato 10 maggio 2025 ore 9.00-12.00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Destinatari</w:t>
      </w:r>
      <w:r w:rsidDel="00000000" w:rsidR="00000000" w:rsidRPr="00000000">
        <w:rPr>
          <w:rtl w:val="0"/>
        </w:rPr>
        <w:t xml:space="preserve">: L’incontro formativo è rivolto ad un minimo di 5 e ad un massimo di 20 insegnanti della scuola primaria curriculari e di sostegno. 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Argomenti: </w:t>
      </w:r>
      <w:r w:rsidDel="00000000" w:rsidR="00000000" w:rsidRPr="00000000">
        <w:rPr>
          <w:rtl w:val="0"/>
        </w:rPr>
        <w:t xml:space="preserve">Potenziamento cognitivo, Intelligenza emotiva, potenziamento dei processi (lessicali, semantici, sintattici, calcolo a mente e fatti numerici), emozioni, empatia, warm cognition, apprendimento, intelligenza numerica, discipline STEM e strumenti di problem solving a scuola.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  <w:t xml:space="preserve">Obiettivi: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Conoscere le basi della intelligenza numerica e l’identificazione dei processi neurobiologici e cognitivi sottostanti;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Conoscere e utilizzare alcune strategie e alcuni strumenti di osservazione e di verifica;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Promuovere conoscenze relative alla metodologia per l’insegnamento delle materie scientifiche;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Progettare e pensare l’ambiente per potenziare l’intelligenza numerica;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Acquisire conoscenze sullo sviluppo affettivo e sulle emozioni; warm cognition, neurobiologia della didattica del sorriso;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Conoscere i modelli che spiegano il problem solving delle abilità implicate;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Progettare e pensare la didattica per migliorare le prestazioni nel problem solving matematico.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DIRIGENTE SCOLASTICO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Dott.ssa Elisabetta Giannelli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8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Documento firmato digitalmente ai sensi del CAD e normativa connessa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6"/>
        </w:tabs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568" w:top="1417" w:left="567" w:right="566" w:header="226" w:footer="22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Times New Roman"/>
  <w:font w:name="Georgia"/>
  <w:font w:name="Arial"/>
  <w:font w:name="Verdan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pStyle w:val="Title"/>
      <w:ind w:left="3544" w:firstLine="0"/>
      <w:jc w:val="left"/>
      <w:rPr>
        <w:rFonts w:ascii="Verdana" w:cs="Verdana" w:eastAsia="Verdana" w:hAnsi="Verdana"/>
        <w:b w:val="0"/>
        <w:sz w:val="36"/>
        <w:szCs w:val="36"/>
      </w:rPr>
    </w:pPr>
    <w:r w:rsidDel="00000000" w:rsidR="00000000" w:rsidRPr="00000000">
      <w:rPr>
        <w:rFonts w:ascii="Verdana" w:cs="Verdana" w:eastAsia="Verdana" w:hAnsi="Verdana"/>
        <w:b w:val="0"/>
        <w:sz w:val="36"/>
        <w:szCs w:val="36"/>
        <w:rtl w:val="0"/>
      </w:rPr>
      <w:t xml:space="preserve">ISTITUTO COMPRENSIVO “PIA PERA”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444500</wp:posOffset>
          </wp:positionH>
          <wp:positionV relativeFrom="paragraph">
            <wp:posOffset>136525</wp:posOffset>
          </wp:positionV>
          <wp:extent cx="704850" cy="781050"/>
          <wp:effectExtent b="0" l="0" r="0" t="0"/>
          <wp:wrapNone/>
          <wp:docPr id="10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4850" cy="7810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2">
    <w:pPr>
      <w:pStyle w:val="Title"/>
      <w:ind w:left="3544" w:firstLine="0"/>
      <w:jc w:val="left"/>
      <w:rPr>
        <w:rFonts w:ascii="Verdana" w:cs="Verdana" w:eastAsia="Verdana" w:hAnsi="Verdana"/>
        <w:b w:val="0"/>
        <w:i w:val="1"/>
        <w:sz w:val="28"/>
        <w:szCs w:val="28"/>
      </w:rPr>
    </w:pPr>
    <w:r w:rsidDel="00000000" w:rsidR="00000000" w:rsidRPr="00000000">
      <w:rPr>
        <w:rFonts w:ascii="Verdana" w:cs="Verdana" w:eastAsia="Verdana" w:hAnsi="Verdana"/>
        <w:b w:val="0"/>
        <w:i w:val="1"/>
        <w:sz w:val="28"/>
        <w:szCs w:val="28"/>
        <w:rtl w:val="0"/>
      </w:rPr>
      <w:t xml:space="preserve">già I.C. LUCCA 3</w:t>
    </w:r>
  </w:p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3969" w:right="141" w:firstLine="0"/>
      <w:jc w:val="right"/>
      <w:rPr>
        <w:rFonts w:ascii="Verdana" w:cs="Verdana" w:eastAsia="Verdana" w:hAnsi="Verdan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Via Don Minzoni, 244 - S. Anna - 55100 LUCCA</w:t>
    </w:r>
  </w:p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3969" w:right="141" w:firstLine="0"/>
      <w:jc w:val="right"/>
      <w:rPr>
        <w:rFonts w:ascii="Verdana" w:cs="Verdana" w:eastAsia="Verdana" w:hAnsi="Verdan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C.F. 92051740469</w:t>
    </w:r>
  </w:p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3969" w:right="141" w:firstLine="0"/>
      <w:jc w:val="right"/>
      <w:rPr>
        <w:rFonts w:ascii="Verdana" w:cs="Verdana" w:eastAsia="Verdana" w:hAnsi="Verdan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1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TEL. </w:t>
    </w: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0583/584388—581457</w:t>
    </w:r>
  </w:p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142" w:right="141" w:firstLine="0"/>
      <w:jc w:val="right"/>
      <w:rPr>
        <w:rFonts w:ascii="Verdana" w:cs="Verdana" w:eastAsia="Verdana" w:hAnsi="Verdan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1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MAIL</w:t>
    </w: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: </w:t>
    </w:r>
    <w:hyperlink r:id="rId2"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8"/>
          <w:szCs w:val="18"/>
          <w:u w:val="none"/>
          <w:shd w:fill="auto" w:val="clear"/>
          <w:vertAlign w:val="baseline"/>
          <w:rtl w:val="0"/>
        </w:rPr>
        <w:t xml:space="preserve">luic84600n@istruzione.it </w:t>
      </w:r>
    </w:hyperlink>
    <w:hyperlink r:id="rId3"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8"/>
          <w:szCs w:val="18"/>
          <w:u w:val="single"/>
          <w:shd w:fill="auto" w:val="clear"/>
          <w:vertAlign w:val="baseline"/>
          <w:rtl w:val="0"/>
        </w:rPr>
        <w:t xml:space="preserve">P</w:t>
      </w:r>
    </w:hyperlink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EC: </w:t>
    </w:r>
    <w:hyperlink r:id="rId4"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8"/>
          <w:szCs w:val="18"/>
          <w:u w:val="none"/>
          <w:shd w:fill="auto" w:val="clear"/>
          <w:vertAlign w:val="baseline"/>
          <w:rtl w:val="0"/>
        </w:rPr>
        <w:t xml:space="preserve">luic84600n@pec.istruzione.it</w:t>
      </w:r>
    </w:hyperlink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S</w:t>
    </w:r>
    <w:r w:rsidDel="00000000" w:rsidR="00000000" w:rsidRPr="00000000">
      <w:rPr>
        <w:rFonts w:ascii="Verdana" w:cs="Verdana" w:eastAsia="Verdana" w:hAnsi="Verdana"/>
        <w:b w:val="0"/>
        <w:i w:val="0"/>
        <w:smallCaps w:val="1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ITO WEB</w:t>
    </w: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: </w:t>
    </w:r>
    <w:hyperlink r:id="rId5"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8"/>
          <w:szCs w:val="18"/>
          <w:u w:val="none"/>
          <w:shd w:fill="auto" w:val="clear"/>
          <w:vertAlign w:val="baseline"/>
          <w:rtl w:val="0"/>
        </w:rPr>
        <w:t xml:space="preserve">www.lucca3.edu.it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tabs>
        <w:tab w:val="center" w:leader="none" w:pos="4819"/>
        <w:tab w:val="right" w:leader="none" w:pos="9638"/>
      </w:tabs>
      <w:spacing w:after="200" w:before="0" w:line="276" w:lineRule="auto"/>
      <w:ind w:left="284" w:right="-284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912610" cy="290195"/>
          <wp:effectExtent b="0" l="0" r="0" t="0"/>
          <wp:docPr id="1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6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12610" cy="2901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1"/>
      <w:keepLines w:val="1"/>
      <w:widowControl w:val="1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Garamond" w:cs="Garamond" w:eastAsia="Garamond" w:hAnsi="Garamond"/>
        <w:b w:val="1"/>
        <w:i w:val="0"/>
        <w:smallCaps w:val="0"/>
        <w:strike w:val="0"/>
        <w:color w:val="366091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Garamond" w:cs="Garamond" w:eastAsia="Garamond" w:hAnsi="Garamond"/>
        <w:b w:val="1"/>
        <w:i w:val="0"/>
        <w:smallCaps w:val="0"/>
        <w:strike w:val="0"/>
        <w:color w:val="366091"/>
        <w:sz w:val="20"/>
        <w:szCs w:val="20"/>
        <w:u w:val="none"/>
        <w:shd w:fill="auto" w:val="clear"/>
        <w:vertAlign w:val="baseline"/>
      </w:rPr>
      <w:drawing>
        <wp:inline distB="114300" distT="114300" distL="114300" distR="114300">
          <wp:extent cx="6119820" cy="1320800"/>
          <wp:effectExtent b="0" l="0" r="0" t="0"/>
          <wp:docPr id="1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1320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76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366091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76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7"/>
      <w:szCs w:val="27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="276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366091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76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366091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76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7"/>
      <w:szCs w:val="27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="276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366091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76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366091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76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7"/>
      <w:szCs w:val="27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="276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366091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76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366091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76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7"/>
      <w:szCs w:val="27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="276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366091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hyperlink" Target="mailto:luic84600n@istruzione.it" TargetMode="External"/><Relationship Id="rId3" Type="http://schemas.openxmlformats.org/officeDocument/2006/relationships/hyperlink" Target="mailto:luic84600n@istruzione.it" TargetMode="External"/><Relationship Id="rId4" Type="http://schemas.openxmlformats.org/officeDocument/2006/relationships/hyperlink" Target="mailto:luic84600n@pec.istruzione.it" TargetMode="External"/><Relationship Id="rId5" Type="http://schemas.openxmlformats.org/officeDocument/2006/relationships/hyperlink" Target="http://www.lucca3.edu.it/" TargetMode="External"/><Relationship Id="rId6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Dxk6BOQhqgnDTS/PYacFZFqz1w==">CgMxLjAyCGguZ2pkZ3hzOAByITFNN0ZvVDRneTliSlpGYUtlY3phR3hCYnlsZ3A3eWFyQg==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